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Гамбургский папирус</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Style23"/>
        <w:rPr/>
      </w:pPr>
      <w:r>
        <w:rPr/>
        <w:t xml:space="preserve">   </w:t>
      </w:r>
      <w:r>
        <w:rPr/>
        <w:t xml:space="preserve">. . . однако, Мосхион, смотри </w:t>
      </w:r>
    </w:p>
    <w:p>
      <w:pPr>
        <w:pStyle w:val="Style23"/>
        <w:rPr/>
      </w:pPr>
      <w:r>
        <w:rPr/>
        <w:t xml:space="preserve">   </w:t>
      </w:r>
      <w:r>
        <w:rPr/>
        <w:t xml:space="preserve">. . . одеяния и золото </w:t>
      </w:r>
    </w:p>
    <w:p>
      <w:pPr>
        <w:pStyle w:val="Style23"/>
        <w:rPr/>
      </w:pPr>
      <w:r>
        <w:rPr/>
        <w:t xml:space="preserve">   </w:t>
      </w:r>
      <w:r>
        <w:rPr/>
        <w:t xml:space="preserve">. . . есть. И для Доркион теперь </w:t>
      </w:r>
    </w:p>
    <w:p>
      <w:pPr>
        <w:pStyle w:val="Style23"/>
        <w:rPr/>
      </w:pPr>
      <w:r>
        <w:rPr/>
        <w:t xml:space="preserve">   </w:t>
      </w:r>
      <w:r>
        <w:rPr/>
        <w:t xml:space="preserve">. . . в залог отдавши, вы </w:t>
      </w:r>
    </w:p>
    <w:p>
      <w:pPr>
        <w:pStyle w:val="Style23"/>
        <w:spacing w:before="0" w:after="283"/>
        <w:rPr/>
      </w:pPr>
      <w:r>
        <w:rPr/>
        <w:t xml:space="preserve">   </w:t>
      </w:r>
      <w:r>
        <w:rPr/>
        <w:t xml:space="preserve">. . . тысячею драхм отделаться.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 . О Геракл! </w:t>
      </w:r>
    </w:p>
    <w:p>
      <w:pPr>
        <w:pStyle w:val="Style23"/>
        <w:spacing w:before="0" w:after="283"/>
        <w:rPr/>
      </w:pPr>
      <w:r>
        <w:rPr/>
        <w:t xml:space="preserve">   </w:t>
      </w:r>
      <w:r>
        <w:rPr/>
        <w:t xml:space="preserve">Женщина </w:t>
      </w:r>
    </w:p>
    <w:p>
      <w:pPr>
        <w:pStyle w:val="Style23"/>
        <w:rPr/>
      </w:pPr>
      <w:r>
        <w:rPr/>
        <w:t xml:space="preserve">   </w:t>
      </w:r>
      <w:r>
        <w:rPr/>
        <w:t xml:space="preserve">. . . Вы возвратите мне, </w:t>
      </w:r>
    </w:p>
    <w:p>
      <w:pPr>
        <w:pStyle w:val="Style23"/>
        <w:rPr/>
      </w:pPr>
      <w:r>
        <w:rPr/>
        <w:t xml:space="preserve">   </w:t>
      </w:r>
      <w:r>
        <w:rPr/>
        <w:t xml:space="preserve">(Коль повезет,) и будет все во благо вам. </w:t>
      </w:r>
    </w:p>
    <w:p>
      <w:pPr>
        <w:pStyle w:val="Style23"/>
        <w:rPr/>
      </w:pPr>
      <w:r>
        <w:rPr/>
        <w:t xml:space="preserve">   </w:t>
      </w:r>
      <w:r>
        <w:rPr/>
        <w:t xml:space="preserve">Когда не сможешь это сделать ты, сама </w:t>
      </w:r>
    </w:p>
    <w:p>
      <w:pPr>
        <w:pStyle w:val="Style23"/>
        <w:rPr/>
      </w:pPr>
      <w:r>
        <w:rPr/>
        <w:t xml:space="preserve">   </w:t>
      </w:r>
      <w:r>
        <w:rPr/>
        <w:t xml:space="preserve">Отдам я деньги на ее спасение. </w:t>
      </w:r>
    </w:p>
    <w:p>
      <w:pPr>
        <w:pStyle w:val="Style23"/>
        <w:rPr/>
      </w:pPr>
      <w:r>
        <w:rPr/>
        <w:t xml:space="preserve">   </w:t>
      </w:r>
    </w:p>
    <w:p>
      <w:pPr>
        <w:pStyle w:val="Style23"/>
        <w:spacing w:before="0" w:after="283"/>
        <w:rPr/>
      </w:pPr>
      <w:r>
        <w:rPr/>
        <w:t xml:space="preserve">   </w:t>
      </w:r>
      <w:r>
        <w:rPr/>
        <w:t xml:space="preserve">Мосхион </w:t>
      </w:r>
    </w:p>
    <w:p>
      <w:pPr>
        <w:pStyle w:val="Style23"/>
        <w:rPr/>
      </w:pPr>
      <w:r>
        <w:rPr/>
        <w:t xml:space="preserve">   </w:t>
      </w:r>
      <w:r>
        <w:rPr/>
        <w:t xml:space="preserve">10 Клянусь спасителем Зевесом, женщина </w:t>
      </w:r>
    </w:p>
    <w:p>
      <w:pPr>
        <w:pStyle w:val="Style23"/>
        <w:rPr/>
      </w:pPr>
      <w:r>
        <w:rPr/>
        <w:t xml:space="preserve">   </w:t>
      </w:r>
      <w:r>
        <w:rPr/>
        <w:t xml:space="preserve">Ты благородная! Не скажешь лучше ведь. </w:t>
      </w:r>
    </w:p>
    <w:p>
      <w:pPr>
        <w:pStyle w:val="Style23"/>
        <w:rPr/>
      </w:pPr>
      <w:r>
        <w:rPr/>
        <w:t xml:space="preserve">   </w:t>
      </w:r>
      <w:r>
        <w:rPr/>
        <w:t xml:space="preserve">Какой-то бог с машины, как в трагедии, </w:t>
      </w:r>
    </w:p>
    <w:p>
      <w:pPr>
        <w:pStyle w:val="Style23"/>
        <w:rPr/>
      </w:pPr>
      <w:r>
        <w:rPr/>
        <w:t xml:space="preserve">   </w:t>
      </w:r>
      <w:r>
        <w:rPr/>
        <w:t xml:space="preserve">Дал, Парменон, тебе внезапно десять мин. </w:t>
      </w:r>
    </w:p>
    <w:p>
      <w:pPr>
        <w:pStyle w:val="Style23"/>
        <w:spacing w:before="0" w:after="283"/>
        <w:rPr/>
      </w:pPr>
      <w:r>
        <w:rPr/>
        <w:t xml:space="preserve">   </w:t>
      </w:r>
      <w:r>
        <w:rPr/>
        <w:t xml:space="preserve">Все прочее пойдет по-человечески. </w:t>
      </w:r>
    </w:p>
    <w:p>
      <w:pPr>
        <w:pStyle w:val="Style23"/>
        <w:spacing w:before="0" w:after="283"/>
        <w:rPr/>
      </w:pPr>
      <w:r>
        <w:rPr/>
        <w:t xml:space="preserve">   </w:t>
      </w:r>
      <w:r>
        <w:rPr/>
        <w:t xml:space="preserve">Женщина </w:t>
      </w:r>
    </w:p>
    <w:p>
      <w:pPr>
        <w:pStyle w:val="Style23"/>
        <w:rPr/>
      </w:pPr>
      <w:r>
        <w:rPr/>
        <w:t xml:space="preserve">   </w:t>
      </w:r>
      <w:r>
        <w:rPr/>
        <w:t xml:space="preserve">Пойду, пожалуй, к Доркион я в дом теперь. </w:t>
      </w:r>
    </w:p>
    <w:p>
      <w:pPr>
        <w:pStyle w:val="Style23"/>
        <w:spacing w:before="0" w:after="283"/>
        <w:rPr/>
      </w:pPr>
      <w:r>
        <w:rPr/>
        <w:t xml:space="preserve">   </w:t>
      </w:r>
      <w:r>
        <w:rPr/>
        <w:t xml:space="preserve">Мы с ней пришли к полнейшему согласию. </w:t>
      </w:r>
    </w:p>
    <w:p>
      <w:pPr>
        <w:pStyle w:val="Style23"/>
        <w:spacing w:before="0" w:after="283"/>
        <w:rPr/>
      </w:pPr>
      <w:r>
        <w:rPr/>
        <w:t xml:space="preserve">   </w:t>
      </w:r>
      <w:r>
        <w:rPr/>
        <w:t xml:space="preserve">Парменон </w:t>
      </w:r>
    </w:p>
    <w:p>
      <w:pPr>
        <w:pStyle w:val="Style23"/>
        <w:spacing w:before="0" w:after="283"/>
        <w:rPr/>
      </w:pPr>
      <w:r>
        <w:rPr/>
        <w:t xml:space="preserve">   </w:t>
      </w:r>
      <w:r>
        <w:rPr/>
        <w:t xml:space="preserve">И, будь добра, все это захвати с собой! </w:t>
      </w:r>
    </w:p>
    <w:p>
      <w:pPr>
        <w:pStyle w:val="Style23"/>
        <w:spacing w:before="0" w:after="283"/>
        <w:rPr/>
      </w:pPr>
      <w:r>
        <w:rPr/>
        <w:t xml:space="preserve">   </w:t>
      </w:r>
      <w:r>
        <w:rPr/>
        <w:t xml:space="preserve">Женщина </w:t>
      </w:r>
    </w:p>
    <w:p>
      <w:pPr>
        <w:pStyle w:val="Style23"/>
        <w:spacing w:before="0" w:after="283"/>
        <w:rPr/>
      </w:pPr>
      <w:r>
        <w:rPr/>
        <w:t xml:space="preserve">   </w:t>
      </w:r>
      <w:r>
        <w:rPr/>
        <w:t xml:space="preserve">Возьми, Дорида, все и поспешай за мной! </w:t>
      </w:r>
    </w:p>
    <w:p>
      <w:pPr>
        <w:pStyle w:val="Style23"/>
        <w:spacing w:before="0" w:after="283"/>
        <w:rPr/>
      </w:pPr>
      <w:r>
        <w:rPr/>
        <w:t xml:space="preserve">   </w:t>
      </w:r>
      <w:r>
        <w:rPr/>
        <w:t xml:space="preserve">Мосхион </w:t>
      </w:r>
    </w:p>
    <w:p>
      <w:pPr>
        <w:pStyle w:val="Style23"/>
        <w:rPr/>
      </w:pPr>
      <w:r>
        <w:rPr/>
        <w:t xml:space="preserve">   </w:t>
      </w:r>
      <w:r>
        <w:rPr/>
        <w:t xml:space="preserve">Эх, мне бы в дом войти и повидать ее. </w:t>
      </w:r>
    </w:p>
    <w:p>
      <w:pPr>
        <w:pStyle w:val="Style23"/>
        <w:spacing w:before="0" w:after="283"/>
        <w:rPr/>
      </w:pPr>
      <w:r>
        <w:rPr/>
        <w:t xml:space="preserve">   </w:t>
      </w:r>
      <w:r>
        <w:rPr/>
        <w:t xml:space="preserve">20 Как, Парменон? </w:t>
      </w:r>
    </w:p>
    <w:p>
      <w:pPr>
        <w:pStyle w:val="Style23"/>
        <w:spacing w:before="0" w:after="283"/>
        <w:rPr/>
      </w:pPr>
      <w:r>
        <w:rPr/>
        <w:t xml:space="preserve">   </w:t>
      </w:r>
      <w:r>
        <w:rPr/>
        <w:t xml:space="preserve">Парменон </w:t>
      </w:r>
    </w:p>
    <w:p>
      <w:pPr>
        <w:pStyle w:val="Style23"/>
        <w:rPr/>
      </w:pPr>
      <w:r>
        <w:rPr/>
        <w:t xml:space="preserve">   </w:t>
      </w:r>
      <w:r>
        <w:rPr/>
        <w:t xml:space="preserve">Скажи, пусть не пугается, </w:t>
      </w:r>
    </w:p>
    <w:p>
      <w:pPr>
        <w:pStyle w:val="Style23"/>
        <w:spacing w:before="0" w:after="283"/>
        <w:rPr/>
      </w:pPr>
      <w:r>
        <w:rPr/>
        <w:t xml:space="preserve">   </w:t>
      </w:r>
      <w:r>
        <w:rPr/>
        <w:t xml:space="preserve">И успокой ее. </w:t>
      </w:r>
    </w:p>
    <w:p>
      <w:pPr>
        <w:pStyle w:val="Style23"/>
        <w:spacing w:before="0" w:after="283"/>
        <w:rPr/>
      </w:pPr>
      <w:r>
        <w:rPr/>
        <w:t xml:space="preserve">   </w:t>
      </w:r>
      <w:r>
        <w:rPr/>
        <w:t xml:space="preserve">Мосхион </w:t>
      </w:r>
    </w:p>
    <w:p>
      <w:pPr>
        <w:pStyle w:val="Style23"/>
        <w:spacing w:before="0" w:after="283"/>
        <w:rPr/>
      </w:pPr>
      <w:r>
        <w:rPr/>
        <w:t xml:space="preserve">   </w:t>
      </w:r>
      <w:r>
        <w:rPr/>
        <w:t xml:space="preserve">Все так и сделаю. </w:t>
      </w:r>
    </w:p>
    <w:p>
      <w:pPr>
        <w:pStyle w:val="Style23"/>
        <w:rPr/>
      </w:pPr>
      <w:r>
        <w:rPr/>
        <w:t xml:space="preserve">   </w:t>
      </w:r>
      <w:r>
        <w:rPr/>
        <w:t xml:space="preserve">Все уходят кроме Парменона. </w:t>
      </w:r>
    </w:p>
    <w:p>
      <w:pPr>
        <w:pStyle w:val="Style23"/>
        <w:rPr/>
      </w:pPr>
      <w:r>
        <w:rPr/>
        <w:t xml:space="preserve">   </w:t>
      </w:r>
    </w:p>
    <w:p>
      <w:pPr>
        <w:pStyle w:val="Style23"/>
        <w:spacing w:before="0" w:after="283"/>
        <w:rPr/>
      </w:pPr>
      <w:r>
        <w:rPr/>
        <w:t xml:space="preserve">   </w:t>
      </w:r>
      <w:bookmarkStart w:id="0" w:name="1"/>
      <w:bookmarkEnd w:id="0"/>
    </w:p>
    <w:p>
      <w:pPr>
        <w:pStyle w:val="2"/>
        <w:jc w:val="center"/>
        <w:rPr/>
      </w:pPr>
      <w:r>
        <w:rPr/>
        <w:t xml:space="preserve">ПРИМЕЧАНИЯ </w:t>
      </w:r>
    </w:p>
    <w:p>
      <w:pPr>
        <w:pStyle w:val="Style23"/>
        <w:spacing w:before="0" w:after="283"/>
        <w:rPr/>
      </w:pPr>
      <w:r>
        <w:rPr/>
        <w:t xml:space="preserve">   </w:t>
      </w:r>
      <w:bookmarkStart w:id="1" w:name="2"/>
      <w:bookmarkEnd w:id="1"/>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2" w:name="3"/>
      <w:bookmarkEnd w:id="2"/>
    </w:p>
    <w:p>
      <w:pPr>
        <w:pStyle w:val="2"/>
        <w:jc w:val="center"/>
        <w:rPr/>
      </w:pPr>
      <w:r>
        <w:rPr/>
        <w:t xml:space="preserve">ГАМБУРГСКИЙ ПАПИРУС </w:t>
      </w:r>
    </w:p>
    <w:p>
      <w:pPr>
        <w:pStyle w:val="Style23"/>
        <w:rPr/>
      </w:pPr>
      <w:r>
        <w:rPr/>
        <w:t xml:space="preserve">   </w:t>
      </w:r>
    </w:p>
    <w:p>
      <w:pPr>
        <w:pStyle w:val="Style23"/>
        <w:spacing w:before="0" w:after="283"/>
        <w:rPr/>
      </w:pPr>
      <w:r>
        <w:rPr/>
        <w:t xml:space="preserve">   </w:t>
      </w:r>
      <w:r>
        <w:rPr/>
        <w:t xml:space="preserve">Остатки двух колонок на папирусе III в. до н. э. (P. Hamb. 656). От второй уцелели только начальные 5-6 букв в стихе. Поскольку 12 ("Какой-то бог с машины". . .) совпадает с цитатой из менандровских комедий "Привидение" (фр. 5) и "Сетка для волос" (фр. 167), папирусный фрагмент принадлежит, возможно, ко второй из них. Из упоминаемых в тексте имен Мосхиона (молодой человек), Парменона (его раб), Доркион (девушка), Дориды (служанка) и не называемой по имени "благородной женщины" (10-11) выводится возможное распределение реплик в кол. 1 и предположительный смысл драматической ситуации. Мосхиону требуется тысяча драхм (10 мин), чтобы заполучить Доркион, - может быть, эту сумму она получила от какого-нибудь воина как залог за обладание ею (ср. Дв., прим.); может быть, это остаток денег, обещанных воином своднику, в чьей власти находится Доркион. Так или иначе, некая благородная особа готова пожертвовать эту сумму для спасения девушки и вдобавок посылает ей одеяния и украшения. Если бы среди этих вещей оказалась золотая сетка для волос, она могла бы послужить средством для опознания в девушке свободнорожденной или даже подброшенной некогда дочери богатой женщины.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LibreOffice/6.1.5.2$Linux_X86_64 LibreOffice_project/10$Build-2</Application>
  <Pages>4</Pages>
  <Words>1264</Words>
  <Characters>7688</Characters>
  <CharactersWithSpaces>9148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2021-01-10T21:09:42Z</dcterms:modified>
  <cp:revision>19</cp:revision>
  <dc:subject/>
  <dc:title/>
</cp:coreProperties>
</file>